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70D365B" w14:textId="03A60D3B" w:rsidR="00BF14D5" w:rsidRPr="009F4BD8" w:rsidRDefault="009F4BD8" w:rsidP="009F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 xml:space="preserve">ykonanie operatu szacunkowego na potrzebę ustalenia odszkodowania 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-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dz. nr </w:t>
      </w:r>
      <w:proofErr w:type="spellStart"/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ewid</w:t>
      </w:r>
      <w:proofErr w:type="spellEnd"/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>. 195/9 z obrębu 43 zajętej pod część  drogi  publicznej gminnej – ul. Bazarowej w Otwocku.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6916DCEB" w:rsidR="00A77821" w:rsidRDefault="00A77821">
    <w:pPr>
      <w:pStyle w:val="Nagwek"/>
    </w:pPr>
    <w:r>
      <w:t>S.AI.272.2.</w:t>
    </w:r>
    <w:r w:rsidR="000B3F17">
      <w:t>16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B3F17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63</cp:revision>
  <cp:lastPrinted>2024-02-20T08:44:00Z</cp:lastPrinted>
  <dcterms:created xsi:type="dcterms:W3CDTF">2022-02-16T13:13:00Z</dcterms:created>
  <dcterms:modified xsi:type="dcterms:W3CDTF">2024-02-20T08:44:00Z</dcterms:modified>
</cp:coreProperties>
</file>